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94DE5" w14:textId="77777777" w:rsidR="00023C85" w:rsidRDefault="000315E7">
      <w:pPr>
        <w:ind w:left="1" w:hanging="3"/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58240" behindDoc="0" locked="0" layoutInCell="1" hidden="0" allowOverlap="1" wp14:anchorId="1A994CD6" wp14:editId="062560C6">
            <wp:simplePos x="0" y="0"/>
            <wp:positionH relativeFrom="page">
              <wp:posOffset>420450</wp:posOffset>
            </wp:positionH>
            <wp:positionV relativeFrom="page">
              <wp:posOffset>361280</wp:posOffset>
            </wp:positionV>
            <wp:extent cx="964565" cy="82804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DE399C" w14:textId="4FC18DEC" w:rsidR="00023C85" w:rsidRDefault="000315E7">
      <w:pPr>
        <w:spacing w:after="200"/>
        <w:ind w:left="1" w:hanging="3"/>
        <w:jc w:val="center"/>
        <w:rPr>
          <w:sz w:val="34"/>
          <w:szCs w:val="34"/>
        </w:rPr>
      </w:pPr>
      <w:r>
        <w:rPr>
          <w:b/>
          <w:sz w:val="34"/>
          <w:szCs w:val="34"/>
        </w:rPr>
        <w:t xml:space="preserve">PR699 Management </w:t>
      </w:r>
      <w:r w:rsidR="00344733">
        <w:rPr>
          <w:b/>
          <w:sz w:val="34"/>
          <w:szCs w:val="34"/>
        </w:rPr>
        <w:t>for</w:t>
      </w:r>
      <w:r>
        <w:rPr>
          <w:b/>
          <w:sz w:val="34"/>
          <w:szCs w:val="34"/>
        </w:rPr>
        <w:t xml:space="preserve"> Risk of Injury Behaviours:  Principals’ Checklist</w:t>
      </w:r>
    </w:p>
    <w:p w14:paraId="0654F356" w14:textId="4C0F8B02" w:rsidR="00023C85" w:rsidRDefault="000315E7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Principals may use the following checklist to ensure they have completed all mandatory steps to support students with risk of injury behaviours.</w:t>
      </w:r>
      <w:r w:rsidR="006E1F94">
        <w:rPr>
          <w:b/>
          <w:sz w:val="22"/>
          <w:szCs w:val="22"/>
        </w:rPr>
        <w:t xml:space="preserve"> This checklist is not inclusive of all steps. Please ensure full review of PR699.</w:t>
      </w:r>
    </w:p>
    <w:p w14:paraId="0407DFAC" w14:textId="77777777" w:rsidR="00023C85" w:rsidRDefault="00023C85">
      <w:pPr>
        <w:ind w:left="-2" w:firstLine="0"/>
        <w:rPr>
          <w:sz w:val="4"/>
          <w:szCs w:val="4"/>
        </w:rPr>
      </w:pPr>
    </w:p>
    <w:p w14:paraId="3D1C6A27" w14:textId="77777777" w:rsidR="00023C85" w:rsidRDefault="00023C85">
      <w:pPr>
        <w:rPr>
          <w:sz w:val="12"/>
          <w:szCs w:val="12"/>
        </w:rPr>
      </w:pPr>
    </w:p>
    <w:p w14:paraId="06213B81" w14:textId="2F30E33F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Become familiar with PR 699</w:t>
      </w:r>
      <w:r w:rsidR="006E1F94">
        <w:rPr>
          <w:sz w:val="22"/>
          <w:szCs w:val="22"/>
        </w:rPr>
        <w:t xml:space="preserve"> and other</w:t>
      </w:r>
      <w:r>
        <w:rPr>
          <w:sz w:val="22"/>
          <w:szCs w:val="22"/>
        </w:rPr>
        <w:t xml:space="preserve"> relevant </w:t>
      </w:r>
      <w:r w:rsidR="006E1F94">
        <w:rPr>
          <w:sz w:val="22"/>
          <w:szCs w:val="22"/>
        </w:rPr>
        <w:t xml:space="preserve">TDSB policies and procedures, </w:t>
      </w:r>
      <w:r>
        <w:rPr>
          <w:sz w:val="22"/>
          <w:szCs w:val="22"/>
        </w:rPr>
        <w:t xml:space="preserve">documentation, legislation and issues of </w:t>
      </w:r>
      <w:r w:rsidR="006E1F94">
        <w:rPr>
          <w:sz w:val="22"/>
          <w:szCs w:val="22"/>
        </w:rPr>
        <w:t>c</w:t>
      </w:r>
      <w:r>
        <w:rPr>
          <w:sz w:val="22"/>
          <w:szCs w:val="22"/>
        </w:rPr>
        <w:t>onfidentiality</w:t>
      </w:r>
      <w:r w:rsidR="006E1F94">
        <w:rPr>
          <w:sz w:val="22"/>
          <w:szCs w:val="22"/>
        </w:rPr>
        <w:t xml:space="preserve"> related to the student</w:t>
      </w:r>
      <w:r>
        <w:rPr>
          <w:sz w:val="22"/>
          <w:szCs w:val="22"/>
        </w:rPr>
        <w:t>.</w:t>
      </w:r>
    </w:p>
    <w:p w14:paraId="018AB6B7" w14:textId="52E60AC8" w:rsidR="00981A43" w:rsidRPr="00981A43" w:rsidRDefault="00981A43" w:rsidP="00981A43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 w:rsidRPr="00981A43">
        <w:rPr>
          <w:sz w:val="22"/>
          <w:szCs w:val="22"/>
        </w:rPr>
        <w:t xml:space="preserve">Consult with parents/guardians/caregivers on an ongoing basis and </w:t>
      </w:r>
      <w:r>
        <w:rPr>
          <w:sz w:val="22"/>
          <w:szCs w:val="22"/>
        </w:rPr>
        <w:t>w</w:t>
      </w:r>
      <w:r w:rsidRPr="00981A43">
        <w:rPr>
          <w:sz w:val="22"/>
          <w:szCs w:val="22"/>
        </w:rPr>
        <w:t>here appropriate, consult with and/or inform the Superintendent of Education</w:t>
      </w:r>
    </w:p>
    <w:p w14:paraId="43F47577" w14:textId="11782EC6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Ensure that all school staff are provided information and instruction on this procedure for their work with this student.</w:t>
      </w:r>
    </w:p>
    <w:p w14:paraId="144B3983" w14:textId="06BB4415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Facilitate the sharing of information on risk- of- injury behaviours and methods to reduce trigger</w:t>
      </w:r>
      <w:r w:rsidR="006E1F94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</w:p>
    <w:p w14:paraId="24EA23EB" w14:textId="0E931583" w:rsidR="00023C85" w:rsidRDefault="000315E7" w:rsidP="006E1F94">
      <w:pPr>
        <w:numPr>
          <w:ilvl w:val="0"/>
          <w:numId w:val="1"/>
        </w:numPr>
        <w:tabs>
          <w:tab w:val="left" w:pos="851"/>
        </w:tabs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Initiate, as often as necessary</w:t>
      </w:r>
      <w:r w:rsidR="006E1F94">
        <w:rPr>
          <w:sz w:val="22"/>
          <w:szCs w:val="22"/>
        </w:rPr>
        <w:t>,</w:t>
      </w:r>
      <w:r>
        <w:rPr>
          <w:sz w:val="22"/>
          <w:szCs w:val="22"/>
        </w:rPr>
        <w:t xml:space="preserve"> Management Process for Risk of Injury and include in-school and Board staff as appropriate.</w:t>
      </w:r>
    </w:p>
    <w:p w14:paraId="4570B33B" w14:textId="77777777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Facilitate a school and classroom safety audit specific to the student.</w:t>
      </w:r>
    </w:p>
    <w:p w14:paraId="0F98B581" w14:textId="344FD349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Ensure that the ABC Data Recording Chart (</w:t>
      </w:r>
      <w:r w:rsidR="00B85D07">
        <w:rPr>
          <w:sz w:val="22"/>
          <w:szCs w:val="22"/>
        </w:rPr>
        <w:t>F</w:t>
      </w:r>
      <w:r>
        <w:rPr>
          <w:sz w:val="22"/>
          <w:szCs w:val="22"/>
        </w:rPr>
        <w:t>orm 699H) is being used regularly to note setting events, triggers and interventions, so that programming can be adjusted accordingly.</w:t>
      </w:r>
    </w:p>
    <w:p w14:paraId="7077CBE2" w14:textId="77CACB5F" w:rsidR="00023C85" w:rsidRPr="006E1F94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 w:rsidRPr="006E1F94">
        <w:rPr>
          <w:sz w:val="22"/>
          <w:szCs w:val="22"/>
        </w:rPr>
        <w:t>If applicable, ensure</w:t>
      </w:r>
      <w:r w:rsidR="006E1F94" w:rsidRPr="006E1F94">
        <w:rPr>
          <w:sz w:val="22"/>
          <w:szCs w:val="22"/>
        </w:rPr>
        <w:t xml:space="preserve"> the</w:t>
      </w:r>
      <w:r w:rsidRPr="006E1F94">
        <w:rPr>
          <w:sz w:val="22"/>
          <w:szCs w:val="22"/>
        </w:rPr>
        <w:t xml:space="preserve"> IEP, including regular behaviour accommodations and interventions that reflect progressive discipline, has been updated and implemented (including ongoing review &amp; evaluation).</w:t>
      </w:r>
    </w:p>
    <w:p w14:paraId="3ED59BE1" w14:textId="12395630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Ensure that the Safety</w:t>
      </w:r>
      <w:r w:rsidRPr="006E1F94">
        <w:rPr>
          <w:sz w:val="22"/>
          <w:szCs w:val="22"/>
        </w:rPr>
        <w:t xml:space="preserve"> Plan</w:t>
      </w:r>
      <w:r w:rsidR="006E1F94">
        <w:rPr>
          <w:sz w:val="22"/>
          <w:szCs w:val="22"/>
        </w:rPr>
        <w:t>,</w:t>
      </w:r>
      <w:r>
        <w:rPr>
          <w:sz w:val="22"/>
          <w:szCs w:val="22"/>
        </w:rPr>
        <w:t xml:space="preserve"> which includes appropriate emergency interventions to prevent /reduce the risk of injury is developed and implemented.</w:t>
      </w:r>
    </w:p>
    <w:p w14:paraId="23C9ED78" w14:textId="77777777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Ensure that Safety Plan emergency interventions focus on non-physical interventions and, if it includes physical interventions, does so as a last resort. </w:t>
      </w:r>
    </w:p>
    <w:p w14:paraId="14A7C932" w14:textId="039C07B9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Ensure </w:t>
      </w:r>
      <w:r w:rsidRPr="006E1F94">
        <w:rPr>
          <w:sz w:val="22"/>
          <w:szCs w:val="22"/>
        </w:rPr>
        <w:t>that all staff who work with the student</w:t>
      </w:r>
      <w:r w:rsidRPr="006E1F94">
        <w:rPr>
          <w:strike/>
          <w:sz w:val="22"/>
          <w:szCs w:val="22"/>
        </w:rPr>
        <w:t>s</w:t>
      </w:r>
      <w:r w:rsidRPr="006E1F94">
        <w:rPr>
          <w:sz w:val="22"/>
          <w:szCs w:val="22"/>
        </w:rPr>
        <w:t xml:space="preserve"> on a regular basis are notified of any risk of  injury; the nature of the beha</w:t>
      </w:r>
      <w:r>
        <w:rPr>
          <w:sz w:val="22"/>
          <w:szCs w:val="22"/>
        </w:rPr>
        <w:t xml:space="preserve">viour that could present a risk of  injury; </w:t>
      </w:r>
      <w:r w:rsidRPr="006E1F94">
        <w:rPr>
          <w:sz w:val="22"/>
          <w:szCs w:val="22"/>
        </w:rPr>
        <w:t>the emergency intervention strategies  in place to prevent injury;  (i.e., have been involved in the development of</w:t>
      </w:r>
      <w:r>
        <w:rPr>
          <w:sz w:val="22"/>
          <w:szCs w:val="22"/>
        </w:rPr>
        <w:t xml:space="preserve"> the Safety Plan, as appropriate) (</w:t>
      </w:r>
      <w:r w:rsidR="00B85D07">
        <w:rPr>
          <w:sz w:val="22"/>
          <w:szCs w:val="22"/>
        </w:rPr>
        <w:t>F</w:t>
      </w:r>
      <w:r>
        <w:rPr>
          <w:sz w:val="22"/>
          <w:szCs w:val="22"/>
        </w:rPr>
        <w:t>orm</w:t>
      </w:r>
      <w:r w:rsidR="00B85D07">
        <w:rPr>
          <w:sz w:val="22"/>
          <w:szCs w:val="22"/>
        </w:rPr>
        <w:t xml:space="preserve"> </w:t>
      </w:r>
      <w:r>
        <w:rPr>
          <w:sz w:val="22"/>
          <w:szCs w:val="22"/>
        </w:rPr>
        <w:t>699J).</w:t>
      </w:r>
    </w:p>
    <w:p w14:paraId="03DE4A46" w14:textId="4D654ED2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Ensure that the staff</w:t>
      </w:r>
      <w:r>
        <w:rPr>
          <w:strike/>
          <w:sz w:val="22"/>
          <w:szCs w:val="22"/>
        </w:rPr>
        <w:t xml:space="preserve"> </w:t>
      </w:r>
      <w:r>
        <w:rPr>
          <w:sz w:val="22"/>
          <w:szCs w:val="22"/>
        </w:rPr>
        <w:t>working with the student on a regular basis</w:t>
      </w:r>
      <w:r w:rsidR="00B85D0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as well as </w:t>
      </w:r>
      <w:r w:rsidR="006E1F94">
        <w:rPr>
          <w:sz w:val="22"/>
          <w:szCs w:val="22"/>
        </w:rPr>
        <w:t>occasional</w:t>
      </w:r>
      <w:r>
        <w:rPr>
          <w:sz w:val="22"/>
          <w:szCs w:val="22"/>
        </w:rPr>
        <w:t xml:space="preserve"> staff</w:t>
      </w:r>
      <w:r w:rsidR="00B85D07">
        <w:rPr>
          <w:sz w:val="22"/>
          <w:szCs w:val="22"/>
        </w:rPr>
        <w:t>,</w:t>
      </w:r>
      <w:r>
        <w:rPr>
          <w:sz w:val="22"/>
          <w:szCs w:val="22"/>
        </w:rPr>
        <w:t xml:space="preserve"> are properly informed and trained, and have the necessary/applicable safety and protective equipment</w:t>
      </w:r>
      <w:r w:rsidR="006E1F94">
        <w:rPr>
          <w:sz w:val="22"/>
          <w:szCs w:val="22"/>
        </w:rPr>
        <w:t>. Ensure the Safety Plan is located in a confidential accessible location in the school office (e.g., Safety Plan binder)</w:t>
      </w:r>
      <w:r>
        <w:rPr>
          <w:sz w:val="22"/>
          <w:szCs w:val="22"/>
        </w:rPr>
        <w:t xml:space="preserve"> (</w:t>
      </w:r>
      <w:r w:rsidR="00B85D07">
        <w:rPr>
          <w:sz w:val="22"/>
          <w:szCs w:val="22"/>
        </w:rPr>
        <w:t>Form</w:t>
      </w:r>
      <w:r>
        <w:rPr>
          <w:sz w:val="22"/>
          <w:szCs w:val="22"/>
        </w:rPr>
        <w:t xml:space="preserve"> 699A).</w:t>
      </w:r>
      <w:r w:rsidR="006E1F94">
        <w:rPr>
          <w:sz w:val="22"/>
          <w:szCs w:val="22"/>
        </w:rPr>
        <w:t xml:space="preserve"> </w:t>
      </w:r>
    </w:p>
    <w:p w14:paraId="01D4215F" w14:textId="2B2FFBA7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Become familiar with required reporting and record-keeping procedures when a </w:t>
      </w:r>
      <w:r w:rsidR="006E1F94">
        <w:rPr>
          <w:sz w:val="22"/>
          <w:szCs w:val="22"/>
        </w:rPr>
        <w:t>risk of injury behaviour</w:t>
      </w:r>
      <w:r>
        <w:rPr>
          <w:sz w:val="22"/>
          <w:szCs w:val="22"/>
        </w:rPr>
        <w:t xml:space="preserve"> or physical </w:t>
      </w:r>
      <w:r w:rsidR="006E1F94">
        <w:rPr>
          <w:sz w:val="22"/>
          <w:szCs w:val="22"/>
        </w:rPr>
        <w:t>intervention</w:t>
      </w:r>
      <w:r>
        <w:rPr>
          <w:sz w:val="22"/>
          <w:szCs w:val="22"/>
        </w:rPr>
        <w:t xml:space="preserve"> occurs, a Safety Plan is written.</w:t>
      </w:r>
    </w:p>
    <w:p w14:paraId="4210E6FE" w14:textId="77777777" w:rsidR="00023C85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Ensure ongoing review of specific circumstances and methods, as necessary, where planned physical intervention has occurred.</w:t>
      </w:r>
    </w:p>
    <w:p w14:paraId="1D7A81EF" w14:textId="77777777" w:rsidR="00023C85" w:rsidRPr="00981A43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>
        <w:rPr>
          <w:sz w:val="22"/>
          <w:szCs w:val="22"/>
        </w:rPr>
        <w:t>Consult with professional support staff regarding relevant community agencies that are able to offer support.</w:t>
      </w:r>
    </w:p>
    <w:p w14:paraId="7FD76844" w14:textId="428DB923" w:rsidR="00023C85" w:rsidRPr="00981A43" w:rsidRDefault="000315E7">
      <w:pPr>
        <w:numPr>
          <w:ilvl w:val="0"/>
          <w:numId w:val="1"/>
        </w:numPr>
        <w:spacing w:after="200"/>
        <w:ind w:left="0" w:hanging="2"/>
        <w:rPr>
          <w:sz w:val="22"/>
          <w:szCs w:val="22"/>
        </w:rPr>
      </w:pPr>
      <w:r w:rsidRPr="00981A43">
        <w:rPr>
          <w:sz w:val="22"/>
          <w:szCs w:val="22"/>
        </w:rPr>
        <w:t xml:space="preserve">Ensure regular review and evaluation of student’s progress through </w:t>
      </w:r>
      <w:proofErr w:type="spellStart"/>
      <w:r w:rsidRPr="00981A43">
        <w:rPr>
          <w:sz w:val="22"/>
          <w:szCs w:val="22"/>
        </w:rPr>
        <w:t>InSchool</w:t>
      </w:r>
      <w:proofErr w:type="spellEnd"/>
      <w:r w:rsidRPr="00981A43">
        <w:rPr>
          <w:sz w:val="22"/>
          <w:szCs w:val="22"/>
        </w:rPr>
        <w:t xml:space="preserve"> Support Team meetings.</w:t>
      </w:r>
    </w:p>
    <w:sectPr w:rsidR="00023C85" w:rsidRPr="00981A43" w:rsidSect="00981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6" w:right="1041" w:bottom="540" w:left="992" w:header="5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B81E7" w14:textId="77777777" w:rsidR="0093616D" w:rsidRDefault="0093616D">
      <w:pPr>
        <w:spacing w:line="240" w:lineRule="auto"/>
        <w:ind w:left="0" w:hanging="2"/>
      </w:pPr>
      <w:r>
        <w:separator/>
      </w:r>
    </w:p>
  </w:endnote>
  <w:endnote w:type="continuationSeparator" w:id="0">
    <w:p w14:paraId="14E60392" w14:textId="77777777" w:rsidR="0093616D" w:rsidRDefault="009361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623E0" w14:textId="77777777" w:rsidR="006318DE" w:rsidRDefault="006318D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20E70" w14:textId="77777777" w:rsidR="006318DE" w:rsidRDefault="006318D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83A55" w14:textId="77777777" w:rsidR="006318DE" w:rsidRDefault="006318D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E0364" w14:textId="77777777" w:rsidR="0093616D" w:rsidRDefault="0093616D">
      <w:pPr>
        <w:spacing w:line="240" w:lineRule="auto"/>
        <w:ind w:left="0" w:hanging="2"/>
      </w:pPr>
      <w:r>
        <w:separator/>
      </w:r>
    </w:p>
  </w:footnote>
  <w:footnote w:type="continuationSeparator" w:id="0">
    <w:p w14:paraId="6990AA0E" w14:textId="77777777" w:rsidR="0093616D" w:rsidRDefault="009361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7937F" w14:textId="77777777" w:rsidR="006318DE" w:rsidRDefault="006318D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422B" w14:textId="64E0AE4B" w:rsidR="00023C85" w:rsidRDefault="000315E7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spacing w:line="240" w:lineRule="auto"/>
      <w:ind w:left="0" w:right="-10" w:hanging="2"/>
      <w:jc w:val="right"/>
      <w:rPr>
        <w:rFonts w:ascii="Arial" w:eastAsia="Arial" w:hAnsi="Arial" w:cs="Arial"/>
        <w:b/>
        <w:sz w:val="16"/>
        <w:szCs w:val="16"/>
      </w:rPr>
    </w:pPr>
    <w:r>
      <w:rPr>
        <w:color w:val="000000"/>
      </w:rPr>
      <w:t xml:space="preserve">        </w:t>
    </w:r>
    <w:r>
      <w:rPr>
        <w:color w:val="000000"/>
      </w:rPr>
      <w:tab/>
    </w:r>
    <w:r>
      <w:rPr>
        <w:rFonts w:ascii="Arial" w:eastAsia="Arial" w:hAnsi="Arial" w:cs="Arial"/>
        <w:b/>
        <w:sz w:val="16"/>
        <w:szCs w:val="16"/>
      </w:rPr>
      <w:t>Form 699</w:t>
    </w:r>
    <w:r w:rsidR="006318DE">
      <w:rPr>
        <w:rFonts w:ascii="Arial" w:eastAsia="Arial" w:hAnsi="Arial" w:cs="Arial"/>
        <w:b/>
        <w:sz w:val="16"/>
        <w:szCs w:val="16"/>
      </w:rPr>
      <w:t>L</w:t>
    </w:r>
  </w:p>
  <w:p w14:paraId="334C3CC5" w14:textId="76A15341" w:rsidR="00023C85" w:rsidRDefault="00C86817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spacing w:line="240" w:lineRule="auto"/>
      <w:ind w:left="0" w:hanging="2"/>
      <w:jc w:val="right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September</w:t>
    </w:r>
    <w:r w:rsidR="000315E7">
      <w:rPr>
        <w:rFonts w:ascii="Arial" w:eastAsia="Arial" w:hAnsi="Arial" w:cs="Arial"/>
        <w:b/>
        <w:sz w:val="16"/>
        <w:szCs w:val="16"/>
      </w:rPr>
      <w:t xml:space="preserve"> 2021</w:t>
    </w:r>
  </w:p>
  <w:p w14:paraId="0EC4208B" w14:textId="3F0B3FDD" w:rsidR="00023C85" w:rsidRDefault="000315E7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spacing w:line="240" w:lineRule="auto"/>
      <w:ind w:left="0" w:hanging="2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 xml:space="preserve">Page </w:t>
    </w:r>
    <w:r w:rsidR="00084687">
      <w:rPr>
        <w:rFonts w:ascii="Arial" w:eastAsia="Arial" w:hAnsi="Arial" w:cs="Arial"/>
        <w:b/>
        <w:sz w:val="16"/>
        <w:szCs w:val="16"/>
      </w:rPr>
      <w:t>1</w:t>
    </w:r>
    <w:r>
      <w:rPr>
        <w:rFonts w:ascii="Arial" w:eastAsia="Arial" w:hAnsi="Arial" w:cs="Arial"/>
        <w:b/>
        <w:sz w:val="16"/>
        <w:szCs w:val="16"/>
      </w:rPr>
      <w:t xml:space="preserve"> of </w:t>
    </w:r>
    <w:r w:rsidR="00084687">
      <w:rPr>
        <w:rFonts w:ascii="Arial" w:eastAsia="Arial" w:hAnsi="Arial" w:cs="Arial"/>
        <w:b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D472B" w14:textId="77777777" w:rsidR="006318DE" w:rsidRDefault="006318D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F3214"/>
    <w:multiLevelType w:val="multilevel"/>
    <w:tmpl w:val="CC9AEB84"/>
    <w:lvl w:ilvl="0">
      <w:start w:val="1"/>
      <w:numFmt w:val="bullet"/>
      <w:lvlText w:val="❏"/>
      <w:lvlJc w:val="left"/>
      <w:pPr>
        <w:ind w:left="870" w:hanging="510"/>
      </w:pPr>
      <w:rPr>
        <w:vertAlign w:val="baseline"/>
      </w:rPr>
    </w:lvl>
    <w:lvl w:ilvl="1">
      <w:start w:val="1"/>
      <w:numFmt w:val="bullet"/>
      <w:lvlText w:val="❏"/>
      <w:lvlJc w:val="left"/>
      <w:pPr>
        <w:ind w:left="1800" w:hanging="360"/>
      </w:pPr>
      <w:rPr>
        <w:vertAlign w:val="baseline"/>
      </w:rPr>
    </w:lvl>
    <w:lvl w:ilvl="2">
      <w:start w:val="1"/>
      <w:numFmt w:val="bullet"/>
      <w:lvlText w:val="❏"/>
      <w:lvlJc w:val="left"/>
      <w:pPr>
        <w:ind w:left="2520" w:hanging="180"/>
      </w:pPr>
      <w:rPr>
        <w:vertAlign w:val="baseline"/>
      </w:rPr>
    </w:lvl>
    <w:lvl w:ilvl="3">
      <w:start w:val="1"/>
      <w:numFmt w:val="bullet"/>
      <w:lvlText w:val="❏"/>
      <w:lvlJc w:val="left"/>
      <w:pPr>
        <w:ind w:left="3240" w:hanging="360"/>
      </w:pPr>
      <w:rPr>
        <w:vertAlign w:val="baseline"/>
      </w:rPr>
    </w:lvl>
    <w:lvl w:ilvl="4">
      <w:start w:val="1"/>
      <w:numFmt w:val="bullet"/>
      <w:lvlText w:val="❏"/>
      <w:lvlJc w:val="left"/>
      <w:pPr>
        <w:ind w:left="3960" w:hanging="360"/>
      </w:pPr>
      <w:rPr>
        <w:vertAlign w:val="baseline"/>
      </w:rPr>
    </w:lvl>
    <w:lvl w:ilvl="5">
      <w:start w:val="1"/>
      <w:numFmt w:val="bullet"/>
      <w:lvlText w:val="❏"/>
      <w:lvlJc w:val="left"/>
      <w:pPr>
        <w:ind w:left="4680" w:hanging="180"/>
      </w:pPr>
      <w:rPr>
        <w:vertAlign w:val="baseline"/>
      </w:rPr>
    </w:lvl>
    <w:lvl w:ilvl="6">
      <w:start w:val="1"/>
      <w:numFmt w:val="bullet"/>
      <w:lvlText w:val="❏"/>
      <w:lvlJc w:val="left"/>
      <w:pPr>
        <w:ind w:left="5400" w:hanging="360"/>
      </w:pPr>
      <w:rPr>
        <w:vertAlign w:val="baseline"/>
      </w:rPr>
    </w:lvl>
    <w:lvl w:ilvl="7">
      <w:start w:val="1"/>
      <w:numFmt w:val="bullet"/>
      <w:lvlText w:val="❏"/>
      <w:lvlJc w:val="left"/>
      <w:pPr>
        <w:ind w:left="6120" w:hanging="360"/>
      </w:pPr>
      <w:rPr>
        <w:vertAlign w:val="baseline"/>
      </w:rPr>
    </w:lvl>
    <w:lvl w:ilvl="8">
      <w:start w:val="1"/>
      <w:numFmt w:val="bullet"/>
      <w:lvlText w:val="❏"/>
      <w:lvlJc w:val="lef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85"/>
    <w:rsid w:val="00023C85"/>
    <w:rsid w:val="000315E7"/>
    <w:rsid w:val="00084687"/>
    <w:rsid w:val="002523FD"/>
    <w:rsid w:val="00344733"/>
    <w:rsid w:val="003A1701"/>
    <w:rsid w:val="004A27BC"/>
    <w:rsid w:val="006318DE"/>
    <w:rsid w:val="006E1F94"/>
    <w:rsid w:val="0093616D"/>
    <w:rsid w:val="00981A43"/>
    <w:rsid w:val="00A44409"/>
    <w:rsid w:val="00B85D07"/>
    <w:rsid w:val="00C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9A1A"/>
  <w15:docId w15:val="{329D8D20-74E8-40BC-A206-0F157F2F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0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EqJzrSlfUr6RR/mZDmucqMEOA==">AMUW2mUs8XibiZIxhCCD7DIvJVMEUOMorj/+phgdWAk679peXa3SZpCh4qQLHSylU4oiQF2gWH877bYzuqldEJedfuRMGa48y7u5UdL9/2UxehESeXi0JjM=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Mustafa, Ron</cp:lastModifiedBy>
  <cp:revision>2</cp:revision>
  <dcterms:created xsi:type="dcterms:W3CDTF">2021-09-15T15:03:00Z</dcterms:created>
  <dcterms:modified xsi:type="dcterms:W3CDTF">2021-09-15T15:03:00Z</dcterms:modified>
</cp:coreProperties>
</file>